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81D" w:rsidRPr="001B3984" w:rsidRDefault="0024081D" w:rsidP="00B779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3984">
        <w:rPr>
          <w:rFonts w:ascii="Times New Roman" w:hAnsi="Times New Roman" w:cs="Times New Roman"/>
          <w:b/>
          <w:bCs/>
        </w:rPr>
        <w:t>PROTOCOL A/Pl/1/03</w:t>
      </w:r>
    </w:p>
    <w:p w:rsidR="0024081D" w:rsidRPr="001B3984" w:rsidRDefault="0024081D" w:rsidP="00B779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3984">
        <w:rPr>
          <w:rFonts w:ascii="Times New Roman" w:hAnsi="Times New Roman" w:cs="Times New Roman"/>
          <w:b/>
          <w:bCs/>
        </w:rPr>
        <w:t>RELATING TO THE DEFINITION OF THE</w:t>
      </w:r>
    </w:p>
    <w:p w:rsidR="0024081D" w:rsidRPr="001B3984" w:rsidRDefault="0024081D" w:rsidP="00B779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3984">
        <w:rPr>
          <w:rFonts w:ascii="Times New Roman" w:hAnsi="Times New Roman" w:cs="Times New Roman"/>
          <w:b/>
          <w:bCs/>
        </w:rPr>
        <w:t>CONCEPT OF PRODUCTS ORIGINATING FROM</w:t>
      </w:r>
    </w:p>
    <w:p w:rsidR="0024081D" w:rsidRPr="001B3984" w:rsidRDefault="0024081D" w:rsidP="00B779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3984">
        <w:rPr>
          <w:rFonts w:ascii="Times New Roman" w:hAnsi="Times New Roman" w:cs="Times New Roman"/>
          <w:b/>
          <w:bCs/>
        </w:rPr>
        <w:t>MEMBER STATES OF THE ECONOMIC COMMUNITY OF</w:t>
      </w:r>
    </w:p>
    <w:p w:rsidR="0024081D" w:rsidRPr="001B3984" w:rsidRDefault="0024081D" w:rsidP="00B779D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B3984">
        <w:rPr>
          <w:rFonts w:ascii="Times New Roman" w:hAnsi="Times New Roman" w:cs="Times New Roman"/>
          <w:b/>
          <w:bCs/>
        </w:rPr>
        <w:t>WEST AFRICAN STATES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  <w:b/>
          <w:bCs/>
        </w:rPr>
      </w:pPr>
    </w:p>
    <w:p w:rsidR="0024081D" w:rsidRPr="009216DF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9216DF">
        <w:rPr>
          <w:rFonts w:ascii="Times New Roman" w:hAnsi="Times New Roman" w:cs="Times New Roman"/>
          <w:b/>
          <w:bCs/>
        </w:rPr>
        <w:t>THE HIGH CONTRACTING PARTIES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9216DF">
        <w:rPr>
          <w:rFonts w:ascii="Times New Roman" w:hAnsi="Times New Roman" w:cs="Times New Roman"/>
          <w:b/>
          <w:bCs/>
        </w:rPr>
        <w:t>MINDFUL</w:t>
      </w:r>
      <w:r w:rsidRPr="001B3984">
        <w:rPr>
          <w:rFonts w:ascii="Times New Roman" w:hAnsi="Times New Roman" w:cs="Times New Roman"/>
        </w:rPr>
        <w:t xml:space="preserve"> of Articles 7,8, and 9 of the Treaty establishing the Authority of Heads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 and Government and defining its composition and functions;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9216DF">
        <w:rPr>
          <w:rFonts w:ascii="Times New Roman" w:hAnsi="Times New Roman" w:cs="Times New Roman"/>
          <w:b/>
          <w:bCs/>
        </w:rPr>
        <w:t>MINDFUL</w:t>
      </w:r>
      <w:r w:rsidRPr="001B3984">
        <w:rPr>
          <w:rFonts w:ascii="Times New Roman" w:hAnsi="Times New Roman" w:cs="Times New Roman"/>
        </w:rPr>
        <w:t xml:space="preserve"> of paragraph 3, Article 38 of the Treaty of the Economic Community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West African States relating to possible amendments to the definition of the concept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products originating from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9216DF">
        <w:rPr>
          <w:rFonts w:ascii="Times New Roman" w:hAnsi="Times New Roman" w:cs="Times New Roman"/>
          <w:b/>
          <w:bCs/>
        </w:rPr>
        <w:t>RECOGNISING</w:t>
      </w:r>
      <w:r w:rsidRPr="001B3984">
        <w:rPr>
          <w:rFonts w:ascii="Times New Roman" w:hAnsi="Times New Roman" w:cs="Times New Roman"/>
        </w:rPr>
        <w:t xml:space="preserve"> the pressing need to harmonise the integration programmes of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Economic Community of West African States with those of the West African Economic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and Monetary Union,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with a view to creating a single economic zone in West Africa;</w:t>
      </w:r>
    </w:p>
    <w:p w:rsidR="009216DF" w:rsidRDefault="0024081D" w:rsidP="009216DF">
      <w:pPr>
        <w:jc w:val="both"/>
        <w:rPr>
          <w:rFonts w:ascii="Times New Roman" w:hAnsi="Times New Roman" w:cs="Times New Roman"/>
        </w:rPr>
      </w:pPr>
      <w:r w:rsidRPr="009216DF">
        <w:rPr>
          <w:rFonts w:ascii="Times New Roman" w:hAnsi="Times New Roman" w:cs="Times New Roman"/>
          <w:b/>
          <w:bCs/>
        </w:rPr>
        <w:t>DESIROUS</w:t>
      </w:r>
      <w:r w:rsidRPr="001B3984">
        <w:rPr>
          <w:rFonts w:ascii="Times New Roman" w:hAnsi="Times New Roman" w:cs="Times New Roman"/>
        </w:rPr>
        <w:t xml:space="preserve"> of ensuring that the definition of the concept of products originating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from Member States is in conformity with the new regulations of the World Trade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Organisation, and of amending the protocol relating thereto accordingly;</w:t>
      </w:r>
    </w:p>
    <w:p w:rsidR="0024081D" w:rsidRPr="009216DF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9216DF">
        <w:rPr>
          <w:rFonts w:ascii="Times New Roman" w:hAnsi="Times New Roman" w:cs="Times New Roman"/>
          <w:b/>
          <w:bCs/>
        </w:rPr>
        <w:t>HAVE AGREED AS FOLLOWS: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</w:p>
    <w:p w:rsidR="0024081D" w:rsidRPr="009216DF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9216DF">
        <w:rPr>
          <w:rFonts w:ascii="Times New Roman" w:hAnsi="Times New Roman" w:cs="Times New Roman"/>
          <w:b/>
          <w:bCs/>
        </w:rPr>
        <w:t>Article 1: Definitions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In this Protocol,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"Treaty" means the revised Treaty of the Economic Community of West African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signed in Cotonou on 24 July 1993;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"Community" means the Economic Community of West African States whose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establishment is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reaffirmed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Article 2 of the Treaty;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"Member State" means a Member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Community;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"Authority" means the Authority of Heads of State and Government of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Community, established by Article 7 of the Treaty;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"Council" means the Council of Ministers of the Community established by Article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10 of the Treaty;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"Executive Secretariat" means the Executive Secretariat established by Article 17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the Treaty;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"Commission" means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Trade, Customs, Taxation, Statistics, Money and Payments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Commission established by Article 22 of the Treaty;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"Manufacture" means any form of processing or transformation, including assembly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any other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special operation;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"Material" means any ingredient, raw material, component or part used in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manufacture of goods;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"Product" means a finished product, even if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product is to be used thereafter in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manufacture of another product;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"Goods" means materials and products;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lastRenderedPageBreak/>
        <w:t>"Import Duties" means all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 xml:space="preserve">Customs duties and taxes of equivalent </w:t>
      </w:r>
      <w:r w:rsidR="009216DF">
        <w:rPr>
          <w:rFonts w:ascii="Times New Roman" w:hAnsi="Times New Roman" w:cs="Times New Roman"/>
        </w:rPr>
        <w:t>effect l</w:t>
      </w:r>
      <w:r w:rsidRPr="001B3984">
        <w:rPr>
          <w:rFonts w:ascii="Times New Roman" w:hAnsi="Times New Roman" w:cs="Times New Roman"/>
        </w:rPr>
        <w:t>evied on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goods upon importation;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"Customs value" means the value of an article determined in conformity with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1994 agreement relating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the implementation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Article VII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General Agreement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on Tariffs and Trade (Agreement on the WTO Customs value);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"Value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materials" means the Customs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 xml:space="preserve">value at the time of importation of </w:t>
      </w:r>
      <w:r w:rsidR="009216DF" w:rsidRPr="001B3984">
        <w:rPr>
          <w:rFonts w:ascii="Times New Roman" w:hAnsi="Times New Roman" w:cs="Times New Roman"/>
        </w:rPr>
        <w:t>non</w:t>
      </w:r>
      <w:r w:rsidR="009216DF">
        <w:rPr>
          <w:rFonts w:ascii="Times New Roman" w:hAnsi="Times New Roman" w:cs="Times New Roman"/>
        </w:rPr>
        <w:t>-</w:t>
      </w:r>
      <w:r w:rsidR="009216DF" w:rsidRPr="001B3984">
        <w:rPr>
          <w:rFonts w:ascii="Times New Roman" w:hAnsi="Times New Roman" w:cs="Times New Roman"/>
        </w:rPr>
        <w:t>originating</w:t>
      </w:r>
      <w:r w:rsidRPr="001B3984">
        <w:rPr>
          <w:rFonts w:ascii="Times New Roman" w:hAnsi="Times New Roman" w:cs="Times New Roman"/>
        </w:rPr>
        <w:t xml:space="preserve"> materials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be used in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 process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production or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where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such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value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not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known or cannot be determined, the earliest ascertainable price paid for them in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Member State where they are used in a process of production;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"Value-added" means the difference, expressed as a percentage, between the ex</w:t>
      </w:r>
      <w:r w:rsidR="009216DF">
        <w:rPr>
          <w:rFonts w:ascii="Times New Roman" w:hAnsi="Times New Roman" w:cs="Times New Roman"/>
        </w:rPr>
        <w:t>-</w:t>
      </w:r>
      <w:r w:rsidRPr="001B3984">
        <w:rPr>
          <w:rFonts w:ascii="Times New Roman" w:hAnsi="Times New Roman" w:cs="Times New Roman"/>
        </w:rPr>
        <w:t>factory price of the finished product before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tax, and the CIF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value of raw materials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consumables and packaging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non-ECOWAS origin, used in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manufacture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final product in the form under which it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released into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circulation.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"Input" means any material, product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used in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manufacturing process;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"Chapters" means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chapters used in the nomenclature of the harmonised system</w:t>
      </w:r>
      <w:r w:rsidR="009216DF">
        <w:rPr>
          <w:rFonts w:ascii="Times New Roman" w:hAnsi="Times New Roman" w:cs="Times New Roman"/>
        </w:rPr>
        <w:t xml:space="preserve"> o</w:t>
      </w:r>
      <w:r w:rsidRPr="001B3984">
        <w:rPr>
          <w:rFonts w:ascii="Times New Roman" w:hAnsi="Times New Roman" w:cs="Times New Roman"/>
        </w:rPr>
        <w:t>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designation and codification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goods, referred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in this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protocol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as the "Harmonised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System" or "HS";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"Sub-headings" means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sub-headings (4figures) used in the nomenclature of the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harmonised system 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designation and codification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goods, referred to in this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protocol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as the "Harmonised System" or "HS";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"Classified' means the classification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a product or a material under a particular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sub-heading;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"Consignment" means all the products</w:t>
      </w:r>
      <w:r w:rsidR="009216DF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forwarded at the same time by an exporter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a consignee, or transported under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cover of a single document from an exporter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a consignee, or, in the absence of such a document, under the cover of a single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invoice.</w:t>
      </w:r>
    </w:p>
    <w:p w:rsidR="0024081D" w:rsidRPr="004669DD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4669DD">
        <w:rPr>
          <w:rFonts w:ascii="Times New Roman" w:hAnsi="Times New Roman" w:cs="Times New Roman"/>
          <w:b/>
          <w:bCs/>
        </w:rPr>
        <w:t>Article 2</w:t>
      </w:r>
      <w:r w:rsidR="004669DD" w:rsidRPr="004669DD">
        <w:rPr>
          <w:rFonts w:ascii="Times New Roman" w:hAnsi="Times New Roman" w:cs="Times New Roman"/>
          <w:b/>
          <w:bCs/>
        </w:rPr>
        <w:t>:</w:t>
      </w:r>
      <w:r w:rsidR="004669DD">
        <w:rPr>
          <w:rFonts w:ascii="Times New Roman" w:hAnsi="Times New Roman" w:cs="Times New Roman"/>
          <w:b/>
          <w:bCs/>
        </w:rPr>
        <w:t xml:space="preserve"> </w:t>
      </w:r>
      <w:r w:rsidRPr="004669DD">
        <w:rPr>
          <w:rFonts w:ascii="Times New Roman" w:hAnsi="Times New Roman" w:cs="Times New Roman"/>
          <w:b/>
          <w:bCs/>
        </w:rPr>
        <w:t>Rules of Origin of</w:t>
      </w:r>
      <w:r w:rsidR="004669DD" w:rsidRPr="004669DD">
        <w:rPr>
          <w:rFonts w:ascii="Times New Roman" w:hAnsi="Times New Roman" w:cs="Times New Roman"/>
          <w:b/>
          <w:bCs/>
        </w:rPr>
        <w:t xml:space="preserve"> </w:t>
      </w:r>
      <w:r w:rsidRPr="004669DD">
        <w:rPr>
          <w:rFonts w:ascii="Times New Roman" w:hAnsi="Times New Roman" w:cs="Times New Roman"/>
          <w:b/>
          <w:bCs/>
        </w:rPr>
        <w:t>Community Goods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1. For the purpose of the provisions of Chapter VIII of the Treaty relating to trade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liberalisation, goods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considered as originating from Member States if: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a) they have been wholly produced in Member States, in accordance with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provisions of Article 3 of this protocol;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b) they have been produced in Member States but contain raw materials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which were not wholly obtained from Member States, provided that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such materials have undergone operations and processes that confer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Community origin, as defined in Article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4 of this protocol.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Originating products consisting of materials wholly produced or sufficiently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transformed in one or several Member States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considered as products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originating from the Member State in which the last processing or transformation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took place, inasmuch as the processing or transformation carried out there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exceeds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processing and transformation defined in Article5 of this protocol.</w:t>
      </w:r>
    </w:p>
    <w:p w:rsidR="0024081D" w:rsidRPr="004669DD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4669DD">
        <w:rPr>
          <w:rFonts w:ascii="Times New Roman" w:hAnsi="Times New Roman" w:cs="Times New Roman"/>
          <w:b/>
          <w:bCs/>
        </w:rPr>
        <w:t>Article 3: Goods wholly produced in Member States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1. The following products shall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be regarded as wholly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produced in the Member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States: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a) live animals born and raised within the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b) mineral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extracted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from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ground, sub-soil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sea bed of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Member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c) vegetable products harvested within the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lastRenderedPageBreak/>
        <w:t>d) products obtained from animals living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raised in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e) products obtained by hunting or fishing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within the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f) products obtained from the sea, rivers and lakes within the Member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 by vessels belonging to the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g) products manufactured aboard ship factories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belonging to Member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States,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exclusively from the products referred to in paragraph (f)of this Article;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h) used articles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fit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only for the recovery of raw materials, provided that such</w:t>
      </w:r>
      <w:r w:rsidR="004669DD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articles have been collected from users within the Member 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proofErr w:type="spellStart"/>
      <w:r w:rsidRPr="001B3984">
        <w:rPr>
          <w:rFonts w:ascii="Times New Roman" w:hAnsi="Times New Roman" w:cs="Times New Roman"/>
        </w:rPr>
        <w:t>i</w:t>
      </w:r>
      <w:proofErr w:type="spellEnd"/>
      <w:r w:rsidRPr="001B3984">
        <w:rPr>
          <w:rFonts w:ascii="Times New Roman" w:hAnsi="Times New Roman" w:cs="Times New Roman"/>
        </w:rPr>
        <w:t>) scrap and waste resulting from manufacturing operations within Member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j) goods produced from the materials listed in paragraphs (b) to (</w:t>
      </w:r>
      <w:proofErr w:type="spellStart"/>
      <w:r w:rsidRPr="001B3984">
        <w:rPr>
          <w:rFonts w:ascii="Times New Roman" w:hAnsi="Times New Roman" w:cs="Times New Roman"/>
        </w:rPr>
        <w:t>i</w:t>
      </w:r>
      <w:proofErr w:type="spellEnd"/>
      <w:r w:rsidRPr="001B3984">
        <w:rPr>
          <w:rFonts w:ascii="Times New Roman" w:hAnsi="Times New Roman" w:cs="Times New Roman"/>
        </w:rPr>
        <w:t>) of this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article, used alone or mixed with other materials, provided that they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represent at least 60% of the total quantity of raw materials used;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k) electric energy produced in the Member States.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The terms "vessels" and "factory ships" used in paragraph 1 (f) and (g) shall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apply only to vessels and factory ships: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which are registered in a Member State;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which sail under the flag of a Member State;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which carry a complement, inclusive of the Master thereof, of which not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less than 50% are nationals of Member States.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4: Operations and processes conferring origin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For the purpose of this protocol, the following operations and processes shall be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considered as sufficient to support a claim of origin from a Member State: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Where •».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1) goods are not wholly produced in Member States and where their production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requires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exclusive use of materials which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'are to be classified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under a different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tariff sub-heading from that of the product;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The above rule shall be accompanied by a list of exemptions mentioning the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cases where the change in the sub-heading is not a determining factor, 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imposing additional conditions. The list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established in by a Regulation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the Council of Ministers.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Or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2) goods are not wholly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produced in Member States and where their production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requires the use of materials which have received a value-added of at least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30% of the ex-factory price of the finished goods.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5: The concept of originating industrial products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Originating industrial goods shall be those referred to in articles 2 and 3 (j) of this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protocol, with the exception of hand-made articles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articles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produced with or without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use of tools, instruments or implements directly operated by the craftsman.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6: Operations and processes not conferring origin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For the purpose of this protocol, the following operations and processes shall be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considered as insufficient to support a claim that goods originate from a Member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State: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lastRenderedPageBreak/>
        <w:t>a) operations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ensure the preservation of merchandise in good condition during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transportation and storage such as ventilation, spreading out, drying, freezing,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placing in brine, sulphur dioxide or other aqueous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solutions, removal of damaged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parts and similar operations;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b) simple operations consisting of removal of dust, sifting or screening, sorting,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classifying, matching, including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making up of sets of goods, washing, painting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and cutting up;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c) (</w:t>
      </w:r>
      <w:proofErr w:type="spellStart"/>
      <w:r w:rsidRPr="001B3984">
        <w:rPr>
          <w:rFonts w:ascii="Times New Roman" w:hAnsi="Times New Roman" w:cs="Times New Roman"/>
        </w:rPr>
        <w:t>i</w:t>
      </w:r>
      <w:proofErr w:type="spellEnd"/>
      <w:r w:rsidRPr="001B3984">
        <w:rPr>
          <w:rFonts w:ascii="Times New Roman" w:hAnsi="Times New Roman" w:cs="Times New Roman"/>
        </w:rPr>
        <w:t>) changes of packaging and breaking up or assembly of consignments;</w:t>
      </w:r>
    </w:p>
    <w:p w:rsidR="00C91F00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(ii) simple bottling, placing in flasks, bags, cases, boxes, fixing on cards 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boards and all other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simple packing operations;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d) marking or labelling in order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distinguish products or their packages;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e) simple mixing of products, even of different types, where one or several of the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components do not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satisfy the Community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criteria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set out in this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protocol;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f) simple assembly of parts of a product to constitute a complete product;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g) a combination 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two or more operations specified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 sub-paragraphs (a) to (f)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this Article;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h) slaughter of animals;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proofErr w:type="spellStart"/>
      <w:r w:rsidRPr="001B3984">
        <w:rPr>
          <w:rFonts w:ascii="Times New Roman" w:hAnsi="Times New Roman" w:cs="Times New Roman"/>
        </w:rPr>
        <w:t>i</w:t>
      </w:r>
      <w:proofErr w:type="spellEnd"/>
      <w:r w:rsidRPr="001B3984">
        <w:rPr>
          <w:rFonts w:ascii="Times New Roman" w:hAnsi="Times New Roman" w:cs="Times New Roman"/>
        </w:rPr>
        <w:t>) salting, placing in brine, drying or smoking of meat, fish, and shellfish;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j) freezing of meat, offal, fish, shellfish, fruits, vegetables or garden plants;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k) preparation and conservation of meat, offal, blood, fish, and shellfish from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products listed in Chapters 2 and 3 of the nomenclature of the harmonised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system;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1) cutting and processing of leaves and foliage of all types.</w:t>
      </w:r>
    </w:p>
    <w:p w:rsidR="00C91F00" w:rsidRPr="00C91F00" w:rsidRDefault="00C91F00" w:rsidP="009216DF">
      <w:pPr>
        <w:jc w:val="both"/>
        <w:rPr>
          <w:rFonts w:ascii="Times New Roman" w:hAnsi="Times New Roman" w:cs="Times New Roman"/>
          <w:b/>
          <w:bCs/>
        </w:rPr>
      </w:pP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7: Goods produced in free zones or under</w:t>
      </w:r>
      <w:r w:rsidR="00C91F00" w:rsidRPr="00C91F00">
        <w:rPr>
          <w:rFonts w:ascii="Times New Roman" w:hAnsi="Times New Roman" w:cs="Times New Roman"/>
          <w:b/>
          <w:bCs/>
        </w:rPr>
        <w:t xml:space="preserve"> </w:t>
      </w:r>
      <w:r w:rsidRPr="00C91F00">
        <w:rPr>
          <w:rFonts w:ascii="Times New Roman" w:hAnsi="Times New Roman" w:cs="Times New Roman"/>
          <w:b/>
          <w:bCs/>
        </w:rPr>
        <w:t>special economic regimes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Goods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transformed within the framework of economic or suspensive Customs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regimes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certain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special regimes involving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suspension, or partial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total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exemption from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Customs duties on inputs, shall in no case be considered as originating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products.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8: Unit of qualification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1. For the purpose of this protocol, the unit of qualification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the product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used as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base unit in order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determine classification under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nomenclature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the harmonised system.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Consequently: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where a group, set or assembly of products is to be classified under a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single heading,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such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group,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set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assembly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treated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as one product;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where a consignment is composed of a number of identical products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classified under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same heading in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harmonised system, each product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 the consignment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considered separately;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Where, in application of the General Rule N° 5 of the harmonised system,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packaging 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considered as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forming a whole with the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goods, the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packaging shall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be considered as forming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 whole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with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goods when determining origin.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9: Accessories, spare parts and tools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lastRenderedPageBreak/>
        <w:t>Accessories, spare parts and tools which are imported with a material, machine,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appliance or vehicle, and whose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price 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included in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that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product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which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no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separate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charge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made,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considered as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forming a whole with the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material,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machine, appliance or vehicle under consideration.</w:t>
      </w:r>
    </w:p>
    <w:p w:rsidR="0024081D" w:rsidRPr="00C91F00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C91F00">
        <w:rPr>
          <w:rFonts w:ascii="Times New Roman" w:hAnsi="Times New Roman" w:cs="Times New Roman"/>
          <w:b/>
          <w:bCs/>
        </w:rPr>
        <w:t>Article 10: Proof of origin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Proof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Community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 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goods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be supported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by a certificate 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stating the conditions set out in this protocol.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However, a certificate of origin shall not be required for agricultural and livestock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products, as well as hand-made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articles or articles produced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with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 without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use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tools, instruments or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implements directly operated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by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craftsman.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The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certificate of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 shall be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issued by</w:t>
      </w:r>
      <w:r w:rsidR="00C91F00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competent authority designated for that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purpose by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Member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 and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countersigned by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Customs Department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that Member State.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11: Identification of originating industrial products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Originating industrial products shall, where it is technically possible, carry an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identification mark on them or on their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packaging.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12:</w:t>
      </w:r>
      <w:r w:rsidR="00B779D9" w:rsidRPr="00B779D9">
        <w:rPr>
          <w:rFonts w:ascii="Times New Roman" w:hAnsi="Times New Roman" w:cs="Times New Roman"/>
          <w:b/>
          <w:bCs/>
        </w:rPr>
        <w:t xml:space="preserve"> </w:t>
      </w:r>
      <w:r w:rsidRPr="00B779D9">
        <w:rPr>
          <w:rFonts w:ascii="Times New Roman" w:hAnsi="Times New Roman" w:cs="Times New Roman"/>
          <w:b/>
          <w:bCs/>
        </w:rPr>
        <w:t>Cooperation in administrative procedure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In order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ensure the proper and uniform implementation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this protocol, Member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shall, through the intermediary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their respective administrations and services,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give mutual aid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and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assistance in the authentication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certificates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origin.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13: Settlement of disputes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 xml:space="preserve">1. In the </w:t>
      </w:r>
      <w:r w:rsidR="00B779D9">
        <w:rPr>
          <w:rFonts w:ascii="Times New Roman" w:hAnsi="Times New Roman" w:cs="Times New Roman"/>
        </w:rPr>
        <w:t>event t</w:t>
      </w:r>
      <w:r w:rsidRPr="001B3984">
        <w:rPr>
          <w:rFonts w:ascii="Times New Roman" w:hAnsi="Times New Roman" w:cs="Times New Roman"/>
        </w:rPr>
        <w:t>hat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origin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product is contested, the Member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 contesting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Community origin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product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shall, on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its own initiative or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that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any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other party concerned, bring the issue to the attention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competent authority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 the issuing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country.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The exporting Member State shall, within a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period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forty-five (45) working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days, furnish all necessary information on the conditions under which 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contested certificate was issued.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3. Products whose origin is in dispute shall not be denied the advantages granted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 originating products, provided that the importer deposits an amount as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guarantee for 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duties and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taxes payable in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importing Member State.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14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Disputes which remain unresolved by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Member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States concerned within the time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limit prescribed in article 13 above, shall be brought before the Commission by any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parties concerned through the intermediary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Executive Secretariat.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15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The Commission shall determine the merits and demerits of the case at its next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session, and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transfer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matter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to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Council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Ministers which shall take a decision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thereon and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inform the parties concerned accordingly.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16: Amendment and Revision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1. Any Member State may submit proposals for the amendment or revision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this protocol.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Any such proposals shall be submitted to the Executive Secretariat, which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send notice thereof to the Member States not later than thirty (30) days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after their receipt. Amendments or revisions shall not be considered by 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Authority unless Member States have received one month's notice thereof.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3. Amendments or revisions shall be adopted by the Authority.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lastRenderedPageBreak/>
        <w:t>Article 17: Entry into force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1. This protocol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shall enter into force provisionally upon signature by the Heads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State and Government. Accordingly, signatory Member States and 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Executive Secretariat hereby undertake to commence implementation of all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provisions of the protocol upon signature.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2. This protocol shall enter fully into force upon ratification by at least nine (9)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signatory States, and in accordance with the constitutional procedures of each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Member State.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3. This protocol and all instruments of ratification shall be deposited with the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Executive Secretariat, which shall transmit certified true copies thereof to all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Member States and notify them of the dates of deposit of instruments of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ratification by the Member States. It shall also be registered by the Executive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Secretariat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with the African Union (AU</w:t>
      </w:r>
      <w:r w:rsidR="00B779D9" w:rsidRPr="001B3984">
        <w:rPr>
          <w:rFonts w:ascii="Times New Roman" w:hAnsi="Times New Roman" w:cs="Times New Roman"/>
        </w:rPr>
        <w:t>), the</w:t>
      </w:r>
      <w:r w:rsidRPr="001B3984">
        <w:rPr>
          <w:rFonts w:ascii="Times New Roman" w:hAnsi="Times New Roman" w:cs="Times New Roman"/>
        </w:rPr>
        <w:t xml:space="preserve"> United Nations Organisation (UNO),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and such other organisation as the Council may determine.</w:t>
      </w:r>
    </w:p>
    <w:p w:rsidR="0024081D" w:rsidRPr="00B779D9" w:rsidRDefault="0024081D" w:rsidP="009216DF">
      <w:pPr>
        <w:jc w:val="both"/>
        <w:rPr>
          <w:rFonts w:ascii="Times New Roman" w:hAnsi="Times New Roman" w:cs="Times New Roman"/>
          <w:b/>
          <w:bCs/>
        </w:rPr>
      </w:pPr>
      <w:r w:rsidRPr="00B779D9">
        <w:rPr>
          <w:rFonts w:ascii="Times New Roman" w:hAnsi="Times New Roman" w:cs="Times New Roman"/>
          <w:b/>
          <w:bCs/>
        </w:rPr>
        <w:t>Article 18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This protocol repeals and replaces all existing provisions which are incompatible with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the above provisions.</w:t>
      </w:r>
    </w:p>
    <w:p w:rsidR="00B779D9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IN FAITH WHEREOF WE, THE HEADS OF STATE AND GOVERNMENT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OF THE MEMBER STATES OFTHE ECONOMIC COMMUNITY OF WEST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AFRICAN STATES (ECOWAS) HAVE SIGNED THIS PROTOCOL IN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SINGLE ORIGINAL IN THE ENGLISH, FRENCH AND PORTUGUESE</w:t>
      </w:r>
      <w:r w:rsidR="00B779D9">
        <w:rPr>
          <w:rFonts w:ascii="Times New Roman" w:hAnsi="Times New Roman" w:cs="Times New Roman"/>
        </w:rPr>
        <w:t xml:space="preserve"> </w:t>
      </w:r>
      <w:r w:rsidRPr="001B3984">
        <w:rPr>
          <w:rFonts w:ascii="Times New Roman" w:hAnsi="Times New Roman" w:cs="Times New Roman"/>
        </w:rPr>
        <w:t>LANGUAGES, ALL THREE (3) TEXTS BEING EQUALLY AUTHENTIC</w:t>
      </w:r>
      <w:r w:rsidR="00B779D9">
        <w:rPr>
          <w:rFonts w:ascii="Times New Roman" w:hAnsi="Times New Roman" w:cs="Times New Roman"/>
        </w:rPr>
        <w:t xml:space="preserve"> </w:t>
      </w:r>
    </w:p>
    <w:p w:rsidR="0024081D" w:rsidRPr="001B3984" w:rsidRDefault="0024081D" w:rsidP="009216DF">
      <w:pPr>
        <w:jc w:val="both"/>
        <w:rPr>
          <w:rFonts w:ascii="Times New Roman" w:hAnsi="Times New Roman" w:cs="Times New Roman"/>
        </w:rPr>
      </w:pPr>
      <w:r w:rsidRPr="001B3984">
        <w:rPr>
          <w:rFonts w:ascii="Times New Roman" w:hAnsi="Times New Roman" w:cs="Times New Roman"/>
        </w:rPr>
        <w:t>DONE AT DAKAR, THIS 31ST DAY OF JANUARY 2003</w:t>
      </w:r>
    </w:p>
    <w:p w:rsidR="00495FD9" w:rsidRPr="001B3984" w:rsidRDefault="00495FD9" w:rsidP="009216DF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95FD9" w:rsidRPr="001B3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1D"/>
    <w:rsid w:val="001B3984"/>
    <w:rsid w:val="0024081D"/>
    <w:rsid w:val="003C1708"/>
    <w:rsid w:val="004669DD"/>
    <w:rsid w:val="00495FD9"/>
    <w:rsid w:val="005B2A4D"/>
    <w:rsid w:val="009216DF"/>
    <w:rsid w:val="00A744E7"/>
    <w:rsid w:val="00B779D9"/>
    <w:rsid w:val="00C9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539F"/>
  <w15:chartTrackingRefBased/>
  <w15:docId w15:val="{8CE88FEA-E1C8-4FE8-A989-9139823E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Olaronke Thomas</dc:creator>
  <cp:keywords/>
  <dc:description/>
  <cp:lastModifiedBy>Olaronke Thomas</cp:lastModifiedBy>
  <cp:revision>2</cp:revision>
  <dcterms:created xsi:type="dcterms:W3CDTF">2020-08-17T15:44:00Z</dcterms:created>
  <dcterms:modified xsi:type="dcterms:W3CDTF">2020-08-17T15:44:00Z</dcterms:modified>
</cp:coreProperties>
</file>